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895" w:rsidRPr="00F85895" w:rsidRDefault="00F85895" w:rsidP="00F85895">
      <w:pPr>
        <w:jc w:val="center"/>
        <w:rPr>
          <w:b/>
        </w:rPr>
      </w:pPr>
      <w:r>
        <w:rPr>
          <w:b/>
        </w:rPr>
        <w:t>Robocza definicja antysemityzmu przyjęta przez Międzynarodowy Sojusz na rzecz Pamięci o Holokauście</w:t>
      </w:r>
    </w:p>
    <w:p w:rsidR="00F85895" w:rsidRDefault="00F85895" w:rsidP="00F85895"/>
    <w:p w:rsidR="00F85895" w:rsidRPr="00F85895" w:rsidRDefault="00F85895" w:rsidP="00F85895">
      <w:r>
        <w:t>Międzynarodowy Sojusz na rzecz Pamięci o Holokauście (IHRA) jednoczy rządy i ekspertów, aby umacniać, rozwijać i promować edukację, pamięć i badania na temat Holokaustu na całym świecie, a także aby dbać o wypełnianie zobowiązań wynikających z Deklaracji Sztokholmskiej z 2000 r. Niewiążąca prawnie robocza definicja antysemityzmu została przyjęta przez 31 państw członkowskich IHRA w dniu 26 maja 2016 r.</w:t>
      </w:r>
    </w:p>
    <w:p w:rsidR="00F85895" w:rsidRDefault="00F85895" w:rsidP="00F85895"/>
    <w:p w:rsidR="00F85895" w:rsidRPr="00A37EF0" w:rsidRDefault="00F85895" w:rsidP="00F85895">
      <w:pPr>
        <w:rPr>
          <w:b/>
        </w:rPr>
      </w:pPr>
      <w:r>
        <w:rPr>
          <w:b/>
        </w:rPr>
        <w:t>„Antysemityzm to określone postrzeganie Żydów, które może się wyrażać jako nienawiść do nich. Antysemityzm przejawia się zarówno w słowach, jak i czynach skierowanych przeciwko Żydom lub osobom, które nie są Żydami, oraz ich własności, a także przeciw instytucjom i obiektom religijnym społeczności żydowskiej</w:t>
      </w:r>
      <w:r w:rsidR="00667ED6">
        <w:rPr>
          <w:b/>
        </w:rPr>
        <w:t>.</w:t>
      </w:r>
      <w:r>
        <w:rPr>
          <w:b/>
        </w:rPr>
        <w:t>”</w:t>
      </w:r>
      <w:bookmarkStart w:id="0" w:name="_GoBack"/>
      <w:bookmarkEnd w:id="0"/>
    </w:p>
    <w:p w:rsidR="00F85895" w:rsidRDefault="00A37EF0" w:rsidP="00F85895">
      <w:r>
        <w:t xml:space="preserve"> </w:t>
      </w:r>
    </w:p>
    <w:p w:rsidR="00F85895" w:rsidRDefault="00F85895" w:rsidP="00F85895">
      <w:r>
        <w:t xml:space="preserve">Z myślą o ukierunkowaniu prac IHRA poniższe przykłady mogą służyć jako ilustracje: </w:t>
      </w:r>
    </w:p>
    <w:p w:rsidR="00F85895" w:rsidRDefault="00F85895" w:rsidP="00F85895">
      <w:r>
        <w:t xml:space="preserve"> </w:t>
      </w:r>
    </w:p>
    <w:p w:rsidR="00F85895" w:rsidRDefault="00F85895" w:rsidP="00F85895">
      <w:r>
        <w:t>Manifestacje antysemityzmu mogą obejmować ataki na państwo Izrael postrzegane jako zbiorowość żydowska. Jednak nie można uznać za antysemicką krytyki Izraela podobnej do kierowanej pod adresem jakiegokolwiek innego państwa. Antysemityzm bowiem często wiąże się z oskarżeniami Żydów o spiskowanie przeciwko ludzkości i jest często przywoływany w</w:t>
      </w:r>
      <w:r w:rsidR="00453AAE">
        <w:t> </w:t>
      </w:r>
      <w:r>
        <w:t xml:space="preserve">celu obarczania Żydów winą za to, że „dzieje się źle”. Obecny jest w mowie, piśmie, formach wizualnych i działaniu, bazując na złowrogich stereotypach i negatywnych cechach charakteru. </w:t>
      </w:r>
    </w:p>
    <w:p w:rsidR="00F85895" w:rsidRDefault="00F85895" w:rsidP="00F85895">
      <w:r>
        <w:t xml:space="preserve"> </w:t>
      </w:r>
    </w:p>
    <w:p w:rsidR="00F85895" w:rsidRDefault="00F85895" w:rsidP="00F85895">
      <w:r>
        <w:t xml:space="preserve">Współczesne przejawy antysemityzmu w życiu publicznym, mediach, szkołach, miejscach pracy i sferze religijnej mogą, biorąc pod uwagę ogólny kontekst, polegać między innymi na: </w:t>
      </w:r>
    </w:p>
    <w:p w:rsidR="00F85895" w:rsidRDefault="00F85895" w:rsidP="00F85895">
      <w:r>
        <w:t xml:space="preserve"> </w:t>
      </w:r>
    </w:p>
    <w:p w:rsidR="00F85895" w:rsidRDefault="00F85895" w:rsidP="00A37EF0">
      <w:pPr>
        <w:pStyle w:val="ListParagraph"/>
        <w:numPr>
          <w:ilvl w:val="0"/>
          <w:numId w:val="11"/>
        </w:numPr>
      </w:pPr>
      <w:r>
        <w:t>nawoływaniu do zabijania lub krzywdzenia Żydów w imię radykalnej ideologii lub ekstremistycznych poglądów religijnych, pomocy w takich czynach lub usprawiedliwianiu ich;</w:t>
      </w:r>
    </w:p>
    <w:p w:rsidR="00A37EF0" w:rsidRDefault="00A37EF0" w:rsidP="00F85895"/>
    <w:p w:rsidR="00F85895" w:rsidRDefault="00F85895" w:rsidP="00A37EF0">
      <w:pPr>
        <w:pStyle w:val="ListParagraph"/>
        <w:numPr>
          <w:ilvl w:val="0"/>
          <w:numId w:val="10"/>
        </w:numPr>
      </w:pPr>
      <w:r>
        <w:t xml:space="preserve">formułowaniu kłamliwych, odmawiających człowieczeństwa, demonizujących lub stereotypowych opinii o Żydach lub ich zbiorowej władzy, zwłaszcza, choć nie tylko, w postaci mitu o międzynarodowym spisku żydowskim lub o kontrolowaniu przez Żydów mediów, gospodarki, rządu lub innych społecznych instytucji; </w:t>
      </w:r>
    </w:p>
    <w:p w:rsidR="00F85895" w:rsidRDefault="00F85895" w:rsidP="00F85895">
      <w:r>
        <w:t xml:space="preserve"> </w:t>
      </w:r>
    </w:p>
    <w:p w:rsidR="00F85895" w:rsidRDefault="00F85895" w:rsidP="00A37EF0">
      <w:pPr>
        <w:pStyle w:val="ListParagraph"/>
        <w:numPr>
          <w:ilvl w:val="0"/>
          <w:numId w:val="9"/>
        </w:numPr>
      </w:pPr>
      <w:r>
        <w:t xml:space="preserve">oskarżaniu Żydów jako narodu o odpowiedzialność za rzeczywiste lub wyimaginowane czyny popełnione przez jedną osobę lub grupę Żydów, a nawet za czyny popełnione przez osoby niebędące Żydami; </w:t>
      </w:r>
    </w:p>
    <w:p w:rsidR="00F85895" w:rsidRDefault="00F85895" w:rsidP="00F85895"/>
    <w:p w:rsidR="00F85895" w:rsidRDefault="00F85895" w:rsidP="00A37EF0">
      <w:pPr>
        <w:pStyle w:val="ListParagraph"/>
        <w:numPr>
          <w:ilvl w:val="0"/>
          <w:numId w:val="8"/>
        </w:numPr>
      </w:pPr>
      <w:r>
        <w:t xml:space="preserve">negowaniu faktu, zakresu, mechanizmów (np. komór gazowych) lub intencjonalności ludobójstwa narodu żydowskiego dokonanego przez narodowosocjalistyczne Niemcy oraz ich zwolenników i sojuszników podczas II wojny światowej (Holokaust); </w:t>
      </w:r>
    </w:p>
    <w:p w:rsidR="00F85895" w:rsidRDefault="00F85895" w:rsidP="00F85895"/>
    <w:p w:rsidR="00F85895" w:rsidRDefault="00F85895" w:rsidP="00A37EF0">
      <w:pPr>
        <w:pStyle w:val="ListParagraph"/>
        <w:numPr>
          <w:ilvl w:val="0"/>
          <w:numId w:val="7"/>
        </w:numPr>
      </w:pPr>
      <w:r>
        <w:t xml:space="preserve">oskarżaniu Żydów jako narodu lub Izraela jako państwa o wymyślenie lub wyolbrzymianie Holokaustu; </w:t>
      </w:r>
    </w:p>
    <w:p w:rsidR="00F85895" w:rsidRDefault="00F85895" w:rsidP="00F85895"/>
    <w:p w:rsidR="00F85895" w:rsidRDefault="00F85895" w:rsidP="00A37EF0">
      <w:pPr>
        <w:pStyle w:val="ListParagraph"/>
        <w:numPr>
          <w:ilvl w:val="0"/>
          <w:numId w:val="6"/>
        </w:numPr>
      </w:pPr>
      <w:r>
        <w:t xml:space="preserve">oskarżaniu obywateli żydowskich o bycie bardziej lojalnym wobec państwa Izrael lub wobec rzekomych międzynarodowych interesów żydowskich niż wobec swojego kraju; </w:t>
      </w:r>
    </w:p>
    <w:p w:rsidR="00F85895" w:rsidRDefault="00F85895" w:rsidP="00F85895"/>
    <w:p w:rsidR="00F85895" w:rsidRDefault="00F85895" w:rsidP="00A37EF0">
      <w:pPr>
        <w:pStyle w:val="ListParagraph"/>
        <w:numPr>
          <w:ilvl w:val="0"/>
          <w:numId w:val="5"/>
        </w:numPr>
      </w:pPr>
      <w:r>
        <w:lastRenderedPageBreak/>
        <w:t xml:space="preserve">odbieraniu Żydom prawa do samostanowienia, np. przez wyrażanie poglądu, że istnienie państwa Izrael jest przedsięwzięciem rasistowskim; </w:t>
      </w:r>
    </w:p>
    <w:p w:rsidR="00F85895" w:rsidRDefault="00F85895" w:rsidP="00F85895"/>
    <w:p w:rsidR="00F85895" w:rsidRDefault="00F85895" w:rsidP="00A37EF0">
      <w:pPr>
        <w:pStyle w:val="ListParagraph"/>
        <w:numPr>
          <w:ilvl w:val="0"/>
          <w:numId w:val="4"/>
        </w:numPr>
      </w:pPr>
      <w:r>
        <w:t xml:space="preserve">stosowaniu podwójnej miary przez wymaganie od Izraela zachowania, którego nie oczekuje się lub nie wymaga od jakiegokolwiek innego państwa demokratycznego; </w:t>
      </w:r>
    </w:p>
    <w:p w:rsidR="00F85895" w:rsidRDefault="00F85895" w:rsidP="00F85895"/>
    <w:p w:rsidR="00F85895" w:rsidRDefault="00F85895" w:rsidP="00A37EF0">
      <w:pPr>
        <w:pStyle w:val="ListParagraph"/>
        <w:numPr>
          <w:ilvl w:val="0"/>
          <w:numId w:val="3"/>
        </w:numPr>
      </w:pPr>
      <w:r>
        <w:t>wykorzystywaniu symboli i obrazów kojarzonych z klasycznym antysemityzmem (np.</w:t>
      </w:r>
      <w:r w:rsidR="00453AAE">
        <w:t> </w:t>
      </w:r>
      <w:r>
        <w:t>spowodowanie śmierci Jezusa, używanie krwi chrześcijańskich dzieci do rytuału religijnego) w charakterystyce Izraela lub Izraelczyków;</w:t>
      </w:r>
    </w:p>
    <w:p w:rsidR="00F85895" w:rsidRDefault="00F85895" w:rsidP="00F85895"/>
    <w:p w:rsidR="00F85895" w:rsidRDefault="00F85895" w:rsidP="00A37EF0">
      <w:pPr>
        <w:pStyle w:val="ListParagraph"/>
        <w:numPr>
          <w:ilvl w:val="0"/>
          <w:numId w:val="2"/>
        </w:numPr>
      </w:pPr>
      <w:r>
        <w:t xml:space="preserve">porównywaniu współczesnej polityki Izraela z polityką nazistów; </w:t>
      </w:r>
    </w:p>
    <w:p w:rsidR="00F85895" w:rsidRDefault="00F85895" w:rsidP="00F85895"/>
    <w:p w:rsidR="00F85895" w:rsidRDefault="00F85895" w:rsidP="00A37EF0">
      <w:pPr>
        <w:pStyle w:val="ListParagraph"/>
        <w:numPr>
          <w:ilvl w:val="0"/>
          <w:numId w:val="1"/>
        </w:numPr>
      </w:pPr>
      <w:r>
        <w:t xml:space="preserve">obarczaniu Żydów jako ogółu odpowiedzialnością za czyny państwa Izrael. </w:t>
      </w:r>
    </w:p>
    <w:p w:rsidR="00F85895" w:rsidRDefault="00F85895" w:rsidP="00F85895">
      <w:r>
        <w:t xml:space="preserve"> </w:t>
      </w:r>
    </w:p>
    <w:p w:rsidR="00F85895" w:rsidRDefault="00F85895" w:rsidP="00F85895">
      <w:r>
        <w:rPr>
          <w:b/>
        </w:rPr>
        <w:t>Antysemicki czyn uznawany jest za przestępstwo</w:t>
      </w:r>
      <w:r>
        <w:t>, gdy tak definiuje go prawo (np.</w:t>
      </w:r>
      <w:r w:rsidR="00453AAE">
        <w:t> </w:t>
      </w:r>
      <w:r>
        <w:t xml:space="preserve">negowanie Holokaustu lub rozpowszechnianie materiałów antysemickich w niektórych krajach). </w:t>
      </w:r>
    </w:p>
    <w:p w:rsidR="00F85895" w:rsidRDefault="00F85895" w:rsidP="00F85895">
      <w:r>
        <w:t xml:space="preserve"> </w:t>
      </w:r>
    </w:p>
    <w:p w:rsidR="00F85895" w:rsidRDefault="00F85895" w:rsidP="00F85895">
      <w:r>
        <w:rPr>
          <w:b/>
        </w:rPr>
        <w:t>Przestępstwo uznane jest za przejaw antysemityzmu</w:t>
      </w:r>
      <w:r>
        <w:t xml:space="preserve">, gdy cele ataków – niezależnie od tego, czy są to osoby, czy ich mienie, takie jak budynki, szkoły, miejsca modlitw i cmentarze – zostały wybrane, ponieważ są żydowskie lub związane z Żydami lub są postrzegane jako takie. </w:t>
      </w:r>
    </w:p>
    <w:p w:rsidR="00F85895" w:rsidRDefault="00F85895" w:rsidP="00F85895">
      <w:r>
        <w:t xml:space="preserve"> </w:t>
      </w:r>
    </w:p>
    <w:p w:rsidR="008765BE" w:rsidRDefault="00F85895" w:rsidP="00F85895">
      <w:r>
        <w:rPr>
          <w:b/>
        </w:rPr>
        <w:t>Dyskryminacja o charakterze antysemickim</w:t>
      </w:r>
      <w:r>
        <w:t xml:space="preserve"> polega na odmawianiu Żydom możliwości lub usług dostępnych dla innych i jest ona nielegalna w wielu krajach.</w:t>
      </w:r>
    </w:p>
    <w:sectPr w:rsidR="008765B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AAE" w:rsidRDefault="00453AAE" w:rsidP="00453AAE">
      <w:r>
        <w:separator/>
      </w:r>
    </w:p>
  </w:endnote>
  <w:endnote w:type="continuationSeparator" w:id="0">
    <w:p w:rsidR="00453AAE" w:rsidRDefault="00453AAE" w:rsidP="00453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ED6" w:rsidRDefault="00667E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ED6" w:rsidRDefault="00667E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ED6" w:rsidRDefault="00667E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AAE" w:rsidRDefault="00453AAE" w:rsidP="00453AAE">
      <w:r>
        <w:separator/>
      </w:r>
    </w:p>
  </w:footnote>
  <w:footnote w:type="continuationSeparator" w:id="0">
    <w:p w:rsidR="00453AAE" w:rsidRDefault="00453AAE" w:rsidP="00453A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ED6" w:rsidRDefault="00667E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ED6" w:rsidRDefault="00667E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ED6" w:rsidRDefault="00667E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A35F4"/>
    <w:multiLevelType w:val="hybridMultilevel"/>
    <w:tmpl w:val="41444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96D88"/>
    <w:multiLevelType w:val="hybridMultilevel"/>
    <w:tmpl w:val="8FC88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97C5E"/>
    <w:multiLevelType w:val="hybridMultilevel"/>
    <w:tmpl w:val="F0CED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125826"/>
    <w:multiLevelType w:val="hybridMultilevel"/>
    <w:tmpl w:val="ECB4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1147A0"/>
    <w:multiLevelType w:val="hybridMultilevel"/>
    <w:tmpl w:val="2BBAF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F0553E"/>
    <w:multiLevelType w:val="hybridMultilevel"/>
    <w:tmpl w:val="C35E9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406B3D"/>
    <w:multiLevelType w:val="hybridMultilevel"/>
    <w:tmpl w:val="911E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957C71"/>
    <w:multiLevelType w:val="hybridMultilevel"/>
    <w:tmpl w:val="9F32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3037AD"/>
    <w:multiLevelType w:val="hybridMultilevel"/>
    <w:tmpl w:val="436A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FE4A77"/>
    <w:multiLevelType w:val="hybridMultilevel"/>
    <w:tmpl w:val="F45E5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552D05"/>
    <w:multiLevelType w:val="hybridMultilevel"/>
    <w:tmpl w:val="B1267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0"/>
  </w:num>
  <w:num w:numId="4">
    <w:abstractNumId w:val="3"/>
  </w:num>
  <w:num w:numId="5">
    <w:abstractNumId w:val="2"/>
  </w:num>
  <w:num w:numId="6">
    <w:abstractNumId w:val="5"/>
  </w:num>
  <w:num w:numId="7">
    <w:abstractNumId w:val="6"/>
  </w:num>
  <w:num w:numId="8">
    <w:abstractNumId w:val="7"/>
  </w:num>
  <w:num w:numId="9">
    <w:abstractNumId w:val="8"/>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astEditedSection" w:val=" 1"/>
    <w:docVar w:name="strDocTypeID" w:val="NONE"/>
    <w:docVar w:name="TXTLANGUE" w:val="PL"/>
    <w:docVar w:name="TXTLANGUEMIN" w:val="pl"/>
    <w:docVar w:name="TXTROUTE" w:val="DV\1163399PL.docx"/>
  </w:docVars>
  <w:rsids>
    <w:rsidRoot w:val="00F85895"/>
    <w:rsid w:val="003068A2"/>
    <w:rsid w:val="00453AAE"/>
    <w:rsid w:val="005762E3"/>
    <w:rsid w:val="005E3965"/>
    <w:rsid w:val="00667ED6"/>
    <w:rsid w:val="008765BE"/>
    <w:rsid w:val="00A37EF0"/>
    <w:rsid w:val="00AD782F"/>
    <w:rsid w:val="00F85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17BE-849A-4698-867B-DB25B717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2E3"/>
    <w:pPr>
      <w:jc w:val="both"/>
    </w:pPr>
    <w:rPr>
      <w:rFonts w:ascii="Times New Roman" w:hAnsi="Times New Roman"/>
      <w:sz w:val="24"/>
      <w:szCs w:val="24"/>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 w:type="paragraph" w:styleId="Header">
    <w:name w:val="header"/>
    <w:basedOn w:val="Normal"/>
    <w:link w:val="HeaderChar"/>
    <w:uiPriority w:val="99"/>
    <w:unhideWhenUsed/>
    <w:rsid w:val="00453AAE"/>
    <w:pPr>
      <w:tabs>
        <w:tab w:val="center" w:pos="4513"/>
        <w:tab w:val="right" w:pos="9026"/>
      </w:tabs>
    </w:pPr>
  </w:style>
  <w:style w:type="character" w:customStyle="1" w:styleId="HeaderChar">
    <w:name w:val="Header Char"/>
    <w:basedOn w:val="DefaultParagraphFont"/>
    <w:link w:val="Header"/>
    <w:uiPriority w:val="99"/>
    <w:rsid w:val="00453AAE"/>
    <w:rPr>
      <w:rFonts w:ascii="Times New Roman" w:hAnsi="Times New Roman"/>
      <w:sz w:val="24"/>
      <w:szCs w:val="24"/>
    </w:rPr>
  </w:style>
  <w:style w:type="paragraph" w:styleId="Footer">
    <w:name w:val="footer"/>
    <w:basedOn w:val="Normal"/>
    <w:link w:val="FooterChar"/>
    <w:uiPriority w:val="99"/>
    <w:unhideWhenUsed/>
    <w:rsid w:val="00453AAE"/>
    <w:pPr>
      <w:tabs>
        <w:tab w:val="center" w:pos="4513"/>
        <w:tab w:val="right" w:pos="9026"/>
      </w:tabs>
    </w:pPr>
  </w:style>
  <w:style w:type="character" w:customStyle="1" w:styleId="FooterChar">
    <w:name w:val="Footer Char"/>
    <w:basedOn w:val="DefaultParagraphFont"/>
    <w:link w:val="Footer"/>
    <w:uiPriority w:val="99"/>
    <w:rsid w:val="00453AA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5084B726.dotm</Template>
  <TotalTime>0</TotalTime>
  <Pages>2</Pages>
  <Words>528</Words>
  <Characters>3511</Characters>
  <Application>Microsoft Office Word</Application>
  <DocSecurity>0</DocSecurity>
  <Lines>74</Lines>
  <Paragraphs>23</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GRIESSER Patrick</dc:creator>
  <cp:keywords/>
  <dc:description/>
  <cp:lastModifiedBy>KUBIAK Wioletta</cp:lastModifiedBy>
  <cp:revision>2</cp:revision>
  <dcterms:created xsi:type="dcterms:W3CDTF">2018-10-05T07:57:00Z</dcterms:created>
  <dcterms:modified xsi:type="dcterms:W3CDTF">2018-10-05T07:57:00Z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LStudio">
    <vt:lpwstr>YES</vt:lpwstr>
  </property>
  <property fmtid="{D5CDD505-2E9C-101B-9397-08002B2CF9AE}" pid="3" name="&lt;Extension&gt;">
    <vt:lpwstr>PL</vt:lpwstr>
  </property>
  <property fmtid="{D5CDD505-2E9C-101B-9397-08002B2CF9AE}" pid="4" name="&lt;FdR&gt;">
    <vt:lpwstr>1163399</vt:lpwstr>
  </property>
  <property fmtid="{D5CDD505-2E9C-101B-9397-08002B2CF9AE}" pid="5" name="LastEdited with">
    <vt:lpwstr>9.4.0 Build [20180620]</vt:lpwstr>
  </property>
  <property fmtid="{D5CDD505-2E9C-101B-9397-08002B2CF9AE}" pid="6" name="&lt;Type&gt;">
    <vt:lpwstr>DV</vt:lpwstr>
  </property>
  <property fmtid="{D5CDD505-2E9C-101B-9397-08002B2CF9AE}" pid="7" name="&lt;Model&gt;">
    <vt:lpwstr>NONE</vt:lpwstr>
  </property>
  <property fmtid="{D5CDD505-2E9C-101B-9397-08002B2CF9AE}" pid="8" name="FooterPath">
    <vt:lpwstr>DV\1163399PL.docx</vt:lpwstr>
  </property>
  <property fmtid="{D5CDD505-2E9C-101B-9397-08002B2CF9AE}" pid="9" name="SubscribeElise">
    <vt:lpwstr/>
  </property>
  <property fmtid="{D5CDD505-2E9C-101B-9397-08002B2CF9AE}" pid="10" name="Bookout">
    <vt:lpwstr>OK - 2018/10/05 09:57</vt:lpwstr>
  </property>
</Properties>
</file>